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77" w:rsidRDefault="00820877" w:rsidP="00820877">
      <w:pPr>
        <w:rPr>
          <w:sz w:val="23"/>
          <w:szCs w:val="23"/>
          <w:lang/>
        </w:rPr>
      </w:pPr>
      <w:r w:rsidRPr="00820877">
        <w:rPr>
          <w:b/>
          <w:sz w:val="32"/>
          <w:szCs w:val="32"/>
          <w:lang/>
        </w:rPr>
        <w:t>Cooke Complex makeover</w:t>
      </w:r>
      <w:r>
        <w:rPr>
          <w:b/>
          <w:sz w:val="32"/>
          <w:szCs w:val="32"/>
          <w:lang/>
        </w:rPr>
        <w:t xml:space="preserve"> - </w:t>
      </w:r>
      <w:r>
        <w:rPr>
          <w:sz w:val="23"/>
          <w:szCs w:val="23"/>
          <w:lang/>
        </w:rPr>
        <w:t>$8.5 million renovation to feature indoor mall</w:t>
      </w:r>
    </w:p>
    <w:p w:rsidR="00285672" w:rsidRPr="00285672" w:rsidRDefault="00285672" w:rsidP="00820877">
      <w:pPr>
        <w:rPr>
          <w:iCs/>
          <w:sz w:val="24"/>
          <w:szCs w:val="24"/>
          <w:lang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313055</wp:posOffset>
            </wp:positionV>
            <wp:extent cx="3129280" cy="2106930"/>
            <wp:effectExtent l="19050" t="0" r="0" b="0"/>
            <wp:wrapTight wrapText="bothSides">
              <wp:wrapPolygon edited="0">
                <wp:start x="-131" y="0"/>
                <wp:lineTo x="-131" y="21483"/>
                <wp:lineTo x="21565" y="21483"/>
                <wp:lineTo x="21565" y="0"/>
                <wp:lineTo x="-131" y="0"/>
              </wp:wrapPolygon>
            </wp:wrapTight>
            <wp:docPr id="1" name="Picture 1" descr="http://digital.olivesoftware.com/Olive/ODN/SanduskyRegister/get/SDSKY-2018-08-07/image.ashx?kind=block&amp;href=SDSKY%2F2018%2F08%2F07&amp;id=Pc0160200&amp;ext=.jpg&amp;ts=2018080709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.olivesoftware.com/Olive/ODN/SanduskyRegister/get/SDSKY-2018-08-07/image.ashx?kind=block&amp;href=SDSKY%2F2018%2F08%2F07&amp;id=Pc0160200&amp;ext=.jpg&amp;ts=201808070924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672">
        <w:rPr>
          <w:iCs/>
          <w:sz w:val="24"/>
          <w:szCs w:val="24"/>
          <w:lang/>
        </w:rPr>
        <w:t xml:space="preserve">August 7, 2018 - </w:t>
      </w:r>
      <w:r w:rsidR="00820877" w:rsidRPr="00285672">
        <w:rPr>
          <w:iCs/>
          <w:sz w:val="24"/>
          <w:szCs w:val="24"/>
          <w:lang/>
        </w:rPr>
        <w:t>By ANDY OURIE</w:t>
      </w:r>
      <w:r w:rsidRPr="00285672">
        <w:rPr>
          <w:iCs/>
          <w:sz w:val="24"/>
          <w:szCs w:val="24"/>
          <w:lang/>
        </w:rPr>
        <w:t>, Sandusky Register</w:t>
      </w:r>
    </w:p>
    <w:p w:rsidR="00820877" w:rsidRPr="00285672" w:rsidRDefault="00820877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820877" w:rsidRDefault="00820877" w:rsidP="00820877">
      <w:pPr>
        <w:rPr>
          <w:i/>
          <w:lang/>
        </w:rPr>
      </w:pPr>
      <w:r w:rsidRPr="00285672">
        <w:rPr>
          <w:i/>
          <w:lang/>
        </w:rPr>
        <w:t xml:space="preserve">An artist rendering </w:t>
      </w:r>
      <w:proofErr w:type="spellStart"/>
      <w:r w:rsidRPr="00285672">
        <w:rPr>
          <w:i/>
          <w:lang/>
        </w:rPr>
        <w:t>reimagines</w:t>
      </w:r>
      <w:proofErr w:type="spellEnd"/>
      <w:r w:rsidRPr="00285672">
        <w:rPr>
          <w:i/>
          <w:lang/>
        </w:rPr>
        <w:t xml:space="preserve"> what the Cooke Complex could look like. An $8.5 million projects calls for significant updates to the downtown Sandusky building on Columbus Avenue and East Market Street.</w:t>
      </w: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  <w:r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49530</wp:posOffset>
            </wp:positionV>
            <wp:extent cx="3180715" cy="1924050"/>
            <wp:effectExtent l="19050" t="0" r="635" b="0"/>
            <wp:wrapTight wrapText="bothSides">
              <wp:wrapPolygon edited="0">
                <wp:start x="-129" y="0"/>
                <wp:lineTo x="-129" y="21386"/>
                <wp:lineTo x="21604" y="21386"/>
                <wp:lineTo x="21604" y="0"/>
                <wp:lineTo x="-129" y="0"/>
              </wp:wrapPolygon>
            </wp:wrapTight>
            <wp:docPr id="3" name="Picture 3" descr="http://digital.olivesoftware.com/Olive/ODN/SanduskyRegister/get/SDSKY-2018-08-07/image.ashx?kind=block&amp;href=SDSKY%2F2018%2F08%2F07&amp;id=Pc0160400&amp;ext=.jpg&amp;ts=2018080709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.olivesoftware.com/Olive/ODN/SanduskyRegister/get/SDSKY-2018-08-07/image.ashx?kind=block&amp;href=SDSKY%2F2018%2F08%2F07&amp;id=Pc0160400&amp;ext=.jpg&amp;ts=201808070924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Pr="00285672" w:rsidRDefault="00285672" w:rsidP="00285672">
      <w:pPr>
        <w:rPr>
          <w:i/>
          <w:lang/>
        </w:rPr>
      </w:pPr>
      <w:r w:rsidRPr="00285672">
        <w:rPr>
          <w:i/>
          <w:lang/>
        </w:rPr>
        <w:t>An undated postcard image shows the Cooke Complex in downtown Sandusky.</w:t>
      </w:r>
    </w:p>
    <w:p w:rsidR="00285672" w:rsidRPr="00285672" w:rsidRDefault="00285672" w:rsidP="00285672">
      <w:pPr>
        <w:rPr>
          <w:i/>
          <w:lang/>
        </w:rPr>
      </w:pPr>
      <w:r w:rsidRPr="00285672">
        <w:rPr>
          <w:i/>
          <w:lang/>
        </w:rPr>
        <w:t>Provided photo/SANDUSKY LIBRARY HISTORY BLOG</w:t>
      </w: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Pr="00285672" w:rsidRDefault="00285672" w:rsidP="00820877">
      <w:pPr>
        <w:rPr>
          <w:i/>
          <w:lang/>
        </w:rPr>
      </w:pPr>
    </w:p>
    <w:p w:rsidR="00820877" w:rsidRDefault="00820877" w:rsidP="00820877">
      <w:pPr>
        <w:rPr>
          <w:sz w:val="15"/>
          <w:szCs w:val="15"/>
          <w:lang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1822</wp:posOffset>
            </wp:positionV>
            <wp:extent cx="2533319" cy="2162755"/>
            <wp:effectExtent l="19050" t="0" r="331" b="0"/>
            <wp:wrapTight wrapText="bothSides">
              <wp:wrapPolygon edited="0">
                <wp:start x="-162" y="0"/>
                <wp:lineTo x="-162" y="21499"/>
                <wp:lineTo x="21603" y="21499"/>
                <wp:lineTo x="21603" y="0"/>
                <wp:lineTo x="-162" y="0"/>
              </wp:wrapPolygon>
            </wp:wrapTight>
            <wp:docPr id="2" name="Picture 2" descr="http://digital.olivesoftware.com/Olive/ODN/SanduskyRegister/get/SDSKY-2018-08-07/image.ashx?kind=block&amp;href=SDSKY%2F2018%2F08%2F07&amp;id=Pc0160300&amp;ext=.jpg&amp;ts=2018080709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gital.olivesoftware.com/Olive/ODN/SanduskyRegister/get/SDSKY-2018-08-07/image.ashx?kind=block&amp;href=SDSKY%2F2018%2F08%2F07&amp;id=Pc0160300&amp;ext=.jpg&amp;ts=201808070924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9" cy="21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72" w:rsidRDefault="00285672" w:rsidP="00820877">
      <w:pPr>
        <w:rPr>
          <w:i/>
          <w:lang/>
        </w:rPr>
      </w:pPr>
    </w:p>
    <w:p w:rsidR="00820877" w:rsidRPr="00285672" w:rsidRDefault="00820877" w:rsidP="00820877">
      <w:pPr>
        <w:rPr>
          <w:i/>
          <w:lang/>
        </w:rPr>
      </w:pPr>
      <w:r w:rsidRPr="00285672">
        <w:rPr>
          <w:i/>
          <w:lang/>
        </w:rPr>
        <w:t xml:space="preserve">Meghan </w:t>
      </w:r>
      <w:proofErr w:type="spellStart"/>
      <w:r w:rsidRPr="00285672">
        <w:rPr>
          <w:i/>
          <w:lang/>
        </w:rPr>
        <w:t>Hogrefe</w:t>
      </w:r>
      <w:proofErr w:type="spellEnd"/>
      <w:r w:rsidRPr="00285672">
        <w:rPr>
          <w:i/>
          <w:lang/>
        </w:rPr>
        <w:t xml:space="preserve"> points out the details on the ceiling as she and her husband, Rick, </w:t>
      </w:r>
      <w:proofErr w:type="gramStart"/>
      <w:r w:rsidRPr="00285672">
        <w:rPr>
          <w:i/>
          <w:lang/>
        </w:rPr>
        <w:t>walk</w:t>
      </w:r>
      <w:proofErr w:type="gramEnd"/>
      <w:r w:rsidRPr="00285672">
        <w:rPr>
          <w:i/>
          <w:lang/>
        </w:rPr>
        <w:t xml:space="preserve"> through the Cooke Complex in downtown Sandusky in February. The two are undertaking an $8.5 million project to revitalize and modernize the structure.</w:t>
      </w:r>
    </w:p>
    <w:p w:rsidR="00820877" w:rsidRDefault="00820877" w:rsidP="00820877">
      <w:pPr>
        <w:rPr>
          <w:i/>
          <w:lang/>
        </w:rPr>
      </w:pPr>
      <w:r w:rsidRPr="00285672">
        <w:rPr>
          <w:i/>
          <w:lang/>
        </w:rPr>
        <w:t xml:space="preserve">Register file photo/ ERIN </w:t>
      </w:r>
      <w:proofErr w:type="spellStart"/>
      <w:r w:rsidRPr="00285672">
        <w:rPr>
          <w:i/>
          <w:lang/>
        </w:rPr>
        <w:t>McLAUGHLIN</w:t>
      </w:r>
      <w:proofErr w:type="spellEnd"/>
    </w:p>
    <w:p w:rsidR="00285672" w:rsidRDefault="00285672" w:rsidP="00820877">
      <w:pPr>
        <w:rPr>
          <w:i/>
          <w:lang/>
        </w:rPr>
      </w:pPr>
    </w:p>
    <w:p w:rsidR="00285672" w:rsidRDefault="00285672" w:rsidP="00820877">
      <w:pPr>
        <w:rPr>
          <w:i/>
          <w:lang/>
        </w:rPr>
      </w:pPr>
    </w:p>
    <w:p w:rsidR="00285672" w:rsidRPr="00285672" w:rsidRDefault="00285672" w:rsidP="00820877">
      <w:pPr>
        <w:rPr>
          <w:i/>
          <w:lang/>
        </w:rPr>
      </w:pPr>
    </w:p>
    <w:p w:rsidR="00820877" w:rsidRDefault="00820877" w:rsidP="00820877">
      <w:pPr>
        <w:rPr>
          <w:sz w:val="15"/>
          <w:szCs w:val="15"/>
          <w:lang/>
        </w:rPr>
      </w:pPr>
    </w:p>
    <w:p w:rsidR="00285672" w:rsidRDefault="00285672" w:rsidP="00820877">
      <w:pPr>
        <w:rPr>
          <w:i/>
          <w:iCs/>
          <w:sz w:val="16"/>
          <w:szCs w:val="16"/>
          <w:lang/>
        </w:rPr>
      </w:pPr>
    </w:p>
    <w:p w:rsidR="00285672" w:rsidRDefault="00285672" w:rsidP="00820877">
      <w:pPr>
        <w:rPr>
          <w:i/>
          <w:iCs/>
          <w:sz w:val="16"/>
          <w:szCs w:val="16"/>
          <w:lang/>
        </w:rPr>
      </w:pPr>
    </w:p>
    <w:p w:rsidR="00285672" w:rsidRDefault="00285672" w:rsidP="00820877">
      <w:pPr>
        <w:rPr>
          <w:i/>
          <w:iCs/>
          <w:sz w:val="16"/>
          <w:szCs w:val="16"/>
          <w:lang/>
        </w:rPr>
      </w:pPr>
    </w:p>
    <w:p w:rsidR="00285672" w:rsidRDefault="00285672" w:rsidP="00820877">
      <w:pPr>
        <w:rPr>
          <w:i/>
          <w:iCs/>
          <w:sz w:val="16"/>
          <w:szCs w:val="16"/>
          <w:lang/>
        </w:rPr>
      </w:pPr>
    </w:p>
    <w:p w:rsidR="00820877" w:rsidRPr="00285672" w:rsidRDefault="00820877" w:rsidP="00820877">
      <w:pPr>
        <w:rPr>
          <w:sz w:val="24"/>
          <w:szCs w:val="24"/>
          <w:lang/>
        </w:rPr>
      </w:pPr>
      <w:r w:rsidRPr="00285672">
        <w:rPr>
          <w:i/>
          <w:iCs/>
          <w:sz w:val="24"/>
          <w:szCs w:val="24"/>
          <w:lang/>
        </w:rPr>
        <w:t xml:space="preserve">Editor’s note: Each week, the Register is highlighting a historical feature related to a project undertaken by developers Meghan and Rick </w:t>
      </w:r>
      <w:proofErr w:type="spellStart"/>
      <w:r w:rsidRPr="00285672">
        <w:rPr>
          <w:i/>
          <w:iCs/>
          <w:sz w:val="24"/>
          <w:szCs w:val="24"/>
          <w:lang/>
        </w:rPr>
        <w:t>Hogrefe</w:t>
      </w:r>
      <w:proofErr w:type="spellEnd"/>
      <w:r w:rsidRPr="00285672">
        <w:rPr>
          <w:i/>
          <w:iCs/>
          <w:sz w:val="24"/>
          <w:szCs w:val="24"/>
          <w:lang/>
        </w:rPr>
        <w:t>. This is the first of several installments.</w:t>
      </w:r>
    </w:p>
    <w:p w:rsidR="00820877" w:rsidRPr="00285672" w:rsidRDefault="00820877" w:rsidP="00820877">
      <w:pPr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SANDUSKY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sz w:val="24"/>
          <w:szCs w:val="24"/>
          <w:lang/>
        </w:rPr>
        <w:t xml:space="preserve">Earlier this year, area developers Meghan and Rick </w:t>
      </w:r>
      <w:proofErr w:type="spellStart"/>
      <w:r w:rsidRPr="00285672">
        <w:rPr>
          <w:sz w:val="24"/>
          <w:szCs w:val="24"/>
          <w:lang/>
        </w:rPr>
        <w:t>Hogrefe</w:t>
      </w:r>
      <w:proofErr w:type="spellEnd"/>
      <w:r w:rsidRPr="00285672">
        <w:rPr>
          <w:sz w:val="24"/>
          <w:szCs w:val="24"/>
          <w:lang/>
        </w:rPr>
        <w:t xml:space="preserve"> embarked on a tough task to revitalize the near-blighted Cooke Complex.</w:t>
      </w:r>
      <w:r w:rsidR="00285672">
        <w:rPr>
          <w:sz w:val="24"/>
          <w:szCs w:val="24"/>
          <w:lang/>
        </w:rPr>
        <w:t xml:space="preserve"> </w:t>
      </w:r>
      <w:r w:rsidRPr="00285672">
        <w:rPr>
          <w:sz w:val="24"/>
          <w:szCs w:val="24"/>
          <w:lang/>
        </w:rPr>
        <w:t>They intend to invest about $8.5 million of their own money to resurrect this storied downtown structure.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sz w:val="24"/>
          <w:szCs w:val="24"/>
          <w:lang/>
        </w:rPr>
        <w:lastRenderedPageBreak/>
        <w:t>Blueprints show them repairing the facade to its late 1800s appearance; restoring the third floor into a ballroom and theater; creating an indoor arcade filled with local vendors; building out spaces for prospective businesses; among other uses.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sz w:val="24"/>
          <w:szCs w:val="24"/>
          <w:lang/>
        </w:rPr>
        <w:t xml:space="preserve">If all goes according to plan, the </w:t>
      </w:r>
      <w:proofErr w:type="spellStart"/>
      <w:r w:rsidRPr="00285672">
        <w:rPr>
          <w:sz w:val="24"/>
          <w:szCs w:val="24"/>
          <w:lang/>
        </w:rPr>
        <w:t>Hogrefes</w:t>
      </w:r>
      <w:proofErr w:type="spellEnd"/>
      <w:r w:rsidRPr="00285672">
        <w:rPr>
          <w:sz w:val="24"/>
          <w:szCs w:val="24"/>
          <w:lang/>
        </w:rPr>
        <w:t xml:space="preserve"> envision an opening ceremony set for sometime in 2020.</w:t>
      </w:r>
      <w:r w:rsidR="00285672">
        <w:rPr>
          <w:sz w:val="24"/>
          <w:szCs w:val="24"/>
          <w:lang/>
        </w:rPr>
        <w:t xml:space="preserve"> </w:t>
      </w:r>
      <w:r w:rsidRPr="00285672">
        <w:rPr>
          <w:sz w:val="24"/>
          <w:szCs w:val="24"/>
          <w:lang/>
        </w:rPr>
        <w:t>“There is so much historical value with this building, and we want people to, once again, be proud of it,” Meghan said.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sz w:val="24"/>
          <w:szCs w:val="24"/>
          <w:lang/>
        </w:rPr>
        <w:t>Rick doubled down on her assessment.</w:t>
      </w:r>
      <w:r w:rsidR="00285672">
        <w:rPr>
          <w:sz w:val="24"/>
          <w:szCs w:val="24"/>
          <w:lang/>
        </w:rPr>
        <w:t xml:space="preserve"> </w:t>
      </w:r>
      <w:r w:rsidRPr="00285672">
        <w:rPr>
          <w:sz w:val="24"/>
          <w:szCs w:val="24"/>
          <w:lang/>
        </w:rPr>
        <w:t>“We need to bring this building back,” Rick said. “If we succeed, I believe we will have accomplished something great not just for us but for the entire city.”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sz w:val="24"/>
          <w:szCs w:val="24"/>
          <w:lang/>
        </w:rPr>
        <w:t>The Cooke Complex offers a vast history, including where many businesses got their starts. With help from the Sandusky Library History Blog, here’s a quick timeline of notable events: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1850s:</w:t>
      </w:r>
      <w:r w:rsidRPr="00285672">
        <w:rPr>
          <w:sz w:val="24"/>
          <w:szCs w:val="24"/>
          <w:lang/>
        </w:rPr>
        <w:t xml:space="preserve"> Sandusky’s Cooke Block, at the northeast corner of Columbus Avenue and Market Street, came into existence. Ellie </w:t>
      </w:r>
      <w:proofErr w:type="spellStart"/>
      <w:r w:rsidRPr="00285672">
        <w:rPr>
          <w:sz w:val="24"/>
          <w:szCs w:val="24"/>
          <w:lang/>
        </w:rPr>
        <w:t>Damm</w:t>
      </w:r>
      <w:proofErr w:type="spellEnd"/>
      <w:r w:rsidRPr="00285672">
        <w:rPr>
          <w:sz w:val="24"/>
          <w:szCs w:val="24"/>
          <w:lang/>
        </w:rPr>
        <w:t xml:space="preserve"> wrote in “Treasure by the Bay” that the north section, known as the Union Building, was built first, along Columbus Avenue.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1866:</w:t>
      </w:r>
      <w:r w:rsidRPr="00285672">
        <w:rPr>
          <w:sz w:val="24"/>
          <w:szCs w:val="24"/>
          <w:lang/>
        </w:rPr>
        <w:t> Wildman Mills erected a large building at the corner of Columbus Avenue and Market Street, and he sold the building to Charles E. and George A. Cooke.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1876:</w:t>
      </w:r>
      <w:r w:rsidRPr="00285672">
        <w:rPr>
          <w:sz w:val="24"/>
          <w:szCs w:val="24"/>
          <w:lang/>
        </w:rPr>
        <w:t> The Cooke Block and the former Union Building consolidated. Sandusky officials met in both buildings to conduct city business.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1882 through 1899:</w:t>
      </w:r>
      <w:r w:rsidRPr="00285672">
        <w:rPr>
          <w:sz w:val="24"/>
          <w:szCs w:val="24"/>
          <w:lang/>
        </w:rPr>
        <w:t xml:space="preserve"> The Melville Brothers ran a wholesale and retail drug business in the main corner building of the Cooke Block. Josh B. Davis and J. H. </w:t>
      </w:r>
      <w:proofErr w:type="spellStart"/>
      <w:r w:rsidRPr="00285672">
        <w:rPr>
          <w:sz w:val="24"/>
          <w:szCs w:val="24"/>
          <w:lang/>
        </w:rPr>
        <w:t>Wagenet</w:t>
      </w:r>
      <w:proofErr w:type="spellEnd"/>
      <w:r w:rsidRPr="00285672">
        <w:rPr>
          <w:sz w:val="24"/>
          <w:szCs w:val="24"/>
          <w:lang/>
        </w:rPr>
        <w:t xml:space="preserve"> were insurance agents in the upper levels of the building.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1908:</w:t>
      </w:r>
      <w:r w:rsidRPr="00285672">
        <w:rPr>
          <w:sz w:val="24"/>
          <w:szCs w:val="24"/>
          <w:lang/>
        </w:rPr>
        <w:t> The Commercial National Bank served as the main business in the Cooke Block’s corner building. A variety of other businesses operated from the Cooke Block, including insurance and real estate agents, lawyers, doctors, restaurants and retail stores.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1923 into the 1930s:</w:t>
      </w:r>
      <w:r w:rsidRPr="00285672">
        <w:rPr>
          <w:sz w:val="24"/>
          <w:szCs w:val="24"/>
          <w:lang/>
        </w:rPr>
        <w:t> Fred A. Martin operated a wholesale and retail confectionery business in the Cooke Block. By the time Martin’s Confectionery was in the Cooke Block, streetcars and automobiles had replaced horse-drawn vehicles.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1938:</w:t>
      </w:r>
      <w:r w:rsidRPr="00285672">
        <w:rPr>
          <w:sz w:val="24"/>
          <w:szCs w:val="24"/>
          <w:lang/>
        </w:rPr>
        <w:t> Walgreen’s Drugstore was at 172 Columbus Ave., where Martin’s had formerly been in business.</w:t>
      </w:r>
    </w:p>
    <w:p w:rsidR="00820877" w:rsidRPr="00285672" w:rsidRDefault="00820877" w:rsidP="00285672">
      <w:pPr>
        <w:ind w:firstLine="720"/>
        <w:rPr>
          <w:sz w:val="24"/>
          <w:szCs w:val="24"/>
          <w:lang/>
        </w:rPr>
      </w:pPr>
      <w:r w:rsidRPr="00285672">
        <w:rPr>
          <w:b/>
          <w:bCs/>
          <w:sz w:val="24"/>
          <w:szCs w:val="24"/>
          <w:lang/>
        </w:rPr>
        <w:t>1960s into the 1980s:</w:t>
      </w:r>
      <w:r w:rsidRPr="00285672">
        <w:rPr>
          <w:sz w:val="24"/>
          <w:szCs w:val="24"/>
          <w:lang/>
        </w:rPr>
        <w:t> </w:t>
      </w:r>
      <w:proofErr w:type="spellStart"/>
      <w:r w:rsidRPr="00285672">
        <w:rPr>
          <w:sz w:val="24"/>
          <w:szCs w:val="24"/>
          <w:lang/>
        </w:rPr>
        <w:t>Holzaepfel</w:t>
      </w:r>
      <w:proofErr w:type="spellEnd"/>
      <w:r w:rsidRPr="00285672">
        <w:rPr>
          <w:sz w:val="24"/>
          <w:szCs w:val="24"/>
          <w:lang/>
        </w:rPr>
        <w:t xml:space="preserve"> Brothers Sporting Goods operated from the northeast corner of Columbus Avenue and Market Street.</w:t>
      </w:r>
    </w:p>
    <w:p w:rsidR="006A2A74" w:rsidRPr="00285672" w:rsidRDefault="006A2A74" w:rsidP="00820877">
      <w:pPr>
        <w:rPr>
          <w:sz w:val="24"/>
          <w:szCs w:val="24"/>
        </w:rPr>
      </w:pPr>
    </w:p>
    <w:sectPr w:rsidR="006A2A74" w:rsidRPr="00285672" w:rsidSect="001113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13FB"/>
    <w:rsid w:val="001113FB"/>
    <w:rsid w:val="00133943"/>
    <w:rsid w:val="00285672"/>
    <w:rsid w:val="003D655B"/>
    <w:rsid w:val="00590959"/>
    <w:rsid w:val="006A2A74"/>
    <w:rsid w:val="006C14E0"/>
    <w:rsid w:val="00817D91"/>
    <w:rsid w:val="00820877"/>
    <w:rsid w:val="008B55F7"/>
    <w:rsid w:val="00956A8D"/>
    <w:rsid w:val="00986222"/>
    <w:rsid w:val="009C3295"/>
    <w:rsid w:val="00A778AB"/>
    <w:rsid w:val="00A908B5"/>
    <w:rsid w:val="00BD0D55"/>
    <w:rsid w:val="00BD5366"/>
    <w:rsid w:val="00D27D82"/>
    <w:rsid w:val="00DC0C5E"/>
    <w:rsid w:val="00E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AB"/>
    <w:pPr>
      <w:spacing w:after="0" w:line="240" w:lineRule="auto"/>
      <w:jc w:val="both"/>
    </w:pPr>
    <w:rPr>
      <w:rFonts w:ascii="Georgia" w:hAnsi="Georgia"/>
    </w:rPr>
  </w:style>
  <w:style w:type="paragraph" w:styleId="Heading1">
    <w:name w:val="heading 1"/>
    <w:basedOn w:val="Normal"/>
    <w:link w:val="Heading1Char"/>
    <w:uiPriority w:val="9"/>
    <w:qFormat/>
    <w:rsid w:val="00BD53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20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xtbody">
    <w:name w:val="gtxt_body"/>
    <w:basedOn w:val="Normal"/>
    <w:rsid w:val="00A77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txtsub">
    <w:name w:val="gstxt_sub"/>
    <w:basedOn w:val="DefaultParagraphFont"/>
    <w:rsid w:val="00A778AB"/>
  </w:style>
  <w:style w:type="character" w:customStyle="1" w:styleId="gtxtbody1">
    <w:name w:val="gtxt_body1"/>
    <w:basedOn w:val="DefaultParagraphFont"/>
    <w:rsid w:val="00A778AB"/>
  </w:style>
  <w:style w:type="character" w:styleId="Hyperlink">
    <w:name w:val="Hyperlink"/>
    <w:basedOn w:val="DefaultParagraphFont"/>
    <w:uiPriority w:val="99"/>
    <w:unhideWhenUsed/>
    <w:rsid w:val="006C14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53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BD53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link">
    <w:name w:val="text_link"/>
    <w:basedOn w:val="DefaultParagraphFont"/>
    <w:rsid w:val="00820877"/>
  </w:style>
  <w:style w:type="paragraph" w:styleId="BalloonText">
    <w:name w:val="Balloon Text"/>
    <w:basedOn w:val="Normal"/>
    <w:link w:val="BalloonTextChar"/>
    <w:uiPriority w:val="99"/>
    <w:semiHidden/>
    <w:unhideWhenUsed/>
    <w:rsid w:val="0082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9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9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1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2017-12-13T19:59:00Z</cp:lastPrinted>
  <dcterms:created xsi:type="dcterms:W3CDTF">2018-08-07T11:09:00Z</dcterms:created>
  <dcterms:modified xsi:type="dcterms:W3CDTF">2018-08-07T11:09:00Z</dcterms:modified>
</cp:coreProperties>
</file>